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C6" w:rsidRPr="009252C6" w:rsidRDefault="009252C6" w:rsidP="009252C6">
      <w:pPr>
        <w:spacing w:after="10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drawing>
          <wp:inline distT="0" distB="0" distL="0" distR="0">
            <wp:extent cx="7566660" cy="10691495"/>
            <wp:effectExtent l="19050" t="0" r="0" b="0"/>
            <wp:docPr id="1" name="Рисунок 1" descr="https://docviewer.yandex.ru/view/0/htmlimage?id=802q-f9egw2j9rkatkgt18n19cb3tpxmtwjfx3k4hejojmbjnzi14stdxh2mq7zmigg4cjaw6yktd2c10u1yd20wqldpd9n2faluam4i&amp;width=794&amp;height=1124&amp;name=bg-0.png&amp;dsid=ec81ba74ff00edc929d6d33ade39b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802q-f9egw2j9rkatkgt18n19cb3tpxmtwjfx3k4hejojmbjnzi14stdxh2mq7zmigg4cjaw6yktd2c10u1yd20wqldpd9n2faluam4i&amp;width=794&amp;height=1124&amp;name=bg-0.png&amp;dsid=ec81ba74ff00edc929d6d33ade39b5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252C6" w:rsidP="009252C6">
      <w:pPr>
        <w:spacing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566660" cy="10691495"/>
            <wp:effectExtent l="19050" t="0" r="0" b="0"/>
            <wp:docPr id="2" name="Рисунок 2" descr="https://docviewer.yandex.ru/view/0/htmlimage?id=802q-f9egw2j9rkatkgt18n19cb3tpxmtwjfx3k4hejojmbjnzi14stdxh2mq7zmigg4cjaw6yktd2c10u1yd20wqldpd9n2faluam4i&amp;width=794&amp;height=1124&amp;name=bg-1.png&amp;dsid=ec81ba74ff00edc929d6d33ade39b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view/0/htmlimage?id=802q-f9egw2j9rkatkgt18n19cb3tpxmtwjfx3k4hejojmbjnzi14stdxh2mq7zmigg4cjaw6yktd2c10u1yd20wqldpd9n2faluam4i&amp;width=794&amp;height=1124&amp;name=bg-1.png&amp;dsid=ec81ba74ff00edc929d6d33ade39b5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t xml:space="preserve">Письмо </w:t>
      </w:r>
      <w:proofErr w:type="spellStart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Минобрнауки</w:t>
      </w:r>
      <w:proofErr w:type="spellEnd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РФ от 04.06.2008 N 03-1423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Документ предоставлен </w:t>
      </w:r>
      <w:proofErr w:type="spellStart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КонсультантПлюс</w:t>
      </w:r>
      <w:proofErr w:type="spellEnd"/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"О методических рекомендациях"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Дата сохранения: 30.03.2017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(вместе с "Методическими рекомендациями по ...</w:t>
      </w:r>
      <w:proofErr w:type="gramEnd"/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образования от 7 июня 2008 г. N 03-1309. Считать антитеррористическую защищенность образовательного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объекта одним из критериев обеспечения безопасности при оценке готовности учебных заведений к новому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учебному процессу.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Органам исполнительной власти субъектов Российской Федерации, осуществляющим функции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надзора и </w:t>
      </w:r>
      <w:proofErr w:type="gramStart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контроля за</w:t>
      </w:r>
      <w:proofErr w:type="gramEnd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соблюдением законодательства Российской Федерации в области образования,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рекомендуется при проведении мероприятий по надзору и контролю в отношении образовательных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учреждений осуществлять анализ деятельности образовательного учреждения по созданию условий,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гарантирующих охрану жизни и </w:t>
      </w:r>
      <w:proofErr w:type="gramStart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здоровья</w:t>
      </w:r>
      <w:proofErr w:type="gramEnd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обучающихся во время образовательного процесса, в том числе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наличие локальных актов образовательного учреждения, регламентирующих действие персонала при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возникновении чрезвычайных ситуаций.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При проведении соответствующих мер по антитеррористической защищенности субъекту Российской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Федерации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рекомендуется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осуществить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разграничение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образовательных,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научных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учреждений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и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организаций по категориям с учетом степени их террористической уязвимости. Определить субъекты,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обеспечивающие их безопасность, установить для каждой категории соответствующий уровень защиты,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определяемый</w:t>
      </w:r>
      <w:proofErr w:type="gramEnd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спецификой организационных, охранных, режимных и иных мер.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Результаты проведения мероприятий, обозначенные настоящими методическими рекомендациями,</w:t>
      </w:r>
    </w:p>
    <w:p w:rsidR="009252C6" w:rsidRPr="009252C6" w:rsidRDefault="009252C6" w:rsidP="009252C6">
      <w:pPr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gramStart"/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позволят определить зоны, требующие приоритетного внимания региональных органов и органов местного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самоуправления, сформировать перечень мероприятий по повышению результативности деятельности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органов местного самоуправления, в том числе по снижению неэффективных расходов, а также выявить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9252C6">
        <w:rPr>
          <w:rFonts w:ascii="yandex-sans" w:eastAsia="Times New Roman" w:hAnsi="yandex-sans" w:cs="Times New Roman"/>
          <w:color w:val="000000"/>
          <w:sz w:val="24"/>
          <w:szCs w:val="24"/>
        </w:rPr>
        <w:t>внутренние ресурсы (финансовые, материально-технические, кадровые и т.д.).</w:t>
      </w:r>
      <w:proofErr w:type="gramEnd"/>
    </w:p>
    <w:p w:rsidR="009252C6" w:rsidRPr="009252C6" w:rsidRDefault="009252C6" w:rsidP="009252C6">
      <w:pPr>
        <w:spacing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sectPr w:rsidR="009252C6" w:rsidRPr="009252C6" w:rsidSect="009252C6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252C6"/>
    <w:rsid w:val="0092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5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52C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252C6"/>
    <w:rPr>
      <w:color w:val="0000FF"/>
      <w:u w:val="single"/>
    </w:rPr>
  </w:style>
  <w:style w:type="character" w:customStyle="1" w:styleId="button2text13">
    <w:name w:val="button2__text13"/>
    <w:basedOn w:val="a0"/>
    <w:rsid w:val="009252C6"/>
  </w:style>
  <w:style w:type="character" w:customStyle="1" w:styleId="byr2x6nbcyx-kfywtmlct">
    <w:name w:val="byr2x6nbcyx-kfywtmlct"/>
    <w:basedOn w:val="a0"/>
    <w:rsid w:val="009252C6"/>
  </w:style>
  <w:style w:type="paragraph" w:styleId="a4">
    <w:name w:val="Balloon Text"/>
    <w:basedOn w:val="a"/>
    <w:link w:val="a5"/>
    <w:uiPriority w:val="99"/>
    <w:semiHidden/>
    <w:unhideWhenUsed/>
    <w:rsid w:val="0092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109">
                      <w:marLeft w:val="158"/>
                      <w:marRight w:val="158"/>
                      <w:marTop w:val="316"/>
                      <w:marBottom w:val="12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13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46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5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61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6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16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4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49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22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62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54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86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22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11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4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67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0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8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15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3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2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53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3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3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74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08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8965">
                  <w:marLeft w:val="158"/>
                  <w:marRight w:val="158"/>
                  <w:marTop w:val="316"/>
                  <w:marBottom w:val="1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8357">
                      <w:marLeft w:val="0"/>
                      <w:marRight w:val="0"/>
                      <w:marTop w:val="316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13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59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2019-07-10T09:00:00Z</dcterms:created>
  <dcterms:modified xsi:type="dcterms:W3CDTF">2019-07-10T09:03:00Z</dcterms:modified>
</cp:coreProperties>
</file>